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E562" w14:textId="27378253" w:rsidR="0022162F" w:rsidRPr="000A19E8" w:rsidRDefault="00753638" w:rsidP="000269E9">
      <w:pPr>
        <w:spacing w:before="100" w:beforeAutospacing="1" w:after="100" w:afterAutospacing="1"/>
        <w:rPr>
          <w:b/>
          <w:bCs/>
        </w:rPr>
      </w:pPr>
      <w:r w:rsidRPr="000A19E8">
        <w:rPr>
          <w:b/>
          <w:bCs/>
        </w:rPr>
        <w:t>Sample copy for employer</w:t>
      </w:r>
      <w:r w:rsidR="000A19E8">
        <w:rPr>
          <w:b/>
          <w:bCs/>
        </w:rPr>
        <w:t xml:space="preserve"> use only</w:t>
      </w:r>
    </w:p>
    <w:p w14:paraId="23A8EB0A" w14:textId="72AC2679" w:rsidR="0022162F" w:rsidRPr="000269E9" w:rsidRDefault="00753638" w:rsidP="000269E9">
      <w:pPr>
        <w:pStyle w:val="Heading1"/>
      </w:pPr>
      <w:r>
        <w:rPr>
          <w:rStyle w:val="Heading1Char"/>
        </w:rPr>
        <w:t>The Second 50 – navigating a multi-stage life</w:t>
      </w:r>
    </w:p>
    <w:p w14:paraId="39A12ABD" w14:textId="6E108C64" w:rsidR="00753638" w:rsidRDefault="00753638" w:rsidP="000269E9">
      <w:pPr>
        <w:pStyle w:val="Heading2"/>
      </w:pPr>
      <w:r>
        <w:t xml:space="preserve">To </w:t>
      </w:r>
      <w:r w:rsidRPr="00753638">
        <w:t>help you communicate Aegon’s latest ‘Second 50’ report to employees, we’ve produced this sample copy for you to use.</w:t>
      </w:r>
    </w:p>
    <w:p w14:paraId="5AEB94DB" w14:textId="77777777" w:rsidR="00753638" w:rsidRDefault="00753638" w:rsidP="00753638">
      <w:r>
        <w:t xml:space="preserve">We’ve taken all reasonable care to make sure the information is accurate at the time of issue, but we don’t accept liability for any consequences resulting from its use. </w:t>
      </w:r>
    </w:p>
    <w:p w14:paraId="0DF0EDE4" w14:textId="77777777" w:rsidR="00753638" w:rsidRDefault="00753638" w:rsidP="00753638"/>
    <w:p w14:paraId="3641F50E" w14:textId="647095E4" w:rsidR="00753638" w:rsidRDefault="00753638" w:rsidP="00753638">
      <w:pPr>
        <w:rPr>
          <w:rFonts w:ascii="Arial" w:eastAsia="Cambria" w:hAnsi="Arial" w:cs="Arial"/>
          <w:color w:val="44546A"/>
          <w:kern w:val="0"/>
          <w:sz w:val="20"/>
          <w:szCs w:val="20"/>
          <w14:ligatures w14:val="none"/>
        </w:rPr>
      </w:pPr>
      <w:r>
        <w:t>There are certain rules you must follow when promoting your company pension scheme to your employees. You can find</w:t>
      </w:r>
      <w:r>
        <w:t xml:space="preserve"> m</w:t>
      </w:r>
      <w:r>
        <w:t>ore information about this here</w:t>
      </w:r>
      <w:r>
        <w:t xml:space="preserve"> </w:t>
      </w:r>
      <w:hyperlink r:id="rId10" w:history="1">
        <w:r w:rsidRPr="00753638">
          <w:rPr>
            <w:rFonts w:ascii="Arial" w:eastAsia="Cambria" w:hAnsi="Arial" w:cs="Arial"/>
            <w:color w:val="0000FF"/>
            <w:kern w:val="0"/>
            <w:sz w:val="20"/>
            <w:szCs w:val="20"/>
            <w:u w:val="single"/>
            <w14:ligatures w14:val="none"/>
          </w:rPr>
          <w:t>The Pensions Regulator website</w:t>
        </w:r>
      </w:hyperlink>
    </w:p>
    <w:p w14:paraId="6BC3C868" w14:textId="77777777" w:rsidR="00753638" w:rsidRDefault="00753638" w:rsidP="00753638"/>
    <w:p w14:paraId="491E3251" w14:textId="1BE999F3" w:rsidR="00753638" w:rsidRDefault="00753638" w:rsidP="00753638">
      <w:r>
        <w:t>If you’re not sure if it’s suitable for your purposes, please get in touch with your scheme adviser.</w:t>
      </w:r>
    </w:p>
    <w:p w14:paraId="267D1E93" w14:textId="77777777" w:rsidR="00753638" w:rsidRDefault="00753638" w:rsidP="00753638"/>
    <w:p w14:paraId="59690537" w14:textId="07E6037E" w:rsidR="00753638" w:rsidRDefault="00753638" w:rsidP="00753638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WP397887</w:t>
      </w:r>
      <w:r>
        <w:t xml:space="preserve"> </w:t>
      </w:r>
      <w:r>
        <w:t>10/2</w:t>
      </w:r>
      <w:r>
        <w:t>4</w:t>
      </w:r>
    </w:p>
    <w:p w14:paraId="2A5F244B" w14:textId="77777777" w:rsidR="000A19E8" w:rsidRDefault="000A19E8" w:rsidP="00753638"/>
    <w:p w14:paraId="7AA41169" w14:textId="77777777" w:rsidR="000A19E8" w:rsidRPr="000A19E8" w:rsidRDefault="000A19E8" w:rsidP="000A19E8">
      <w:pPr>
        <w:rPr>
          <w:lang w:val="en-GB"/>
        </w:rPr>
      </w:pPr>
      <w:r w:rsidRPr="000A19E8">
        <w:rPr>
          <w:lang w:val="en-GB"/>
        </w:rPr>
        <w:t>Email subject line: Read Aegon’s latest Second 50 report</w:t>
      </w:r>
    </w:p>
    <w:p w14:paraId="7F2A6EA5" w14:textId="77777777" w:rsidR="000A19E8" w:rsidRDefault="000A19E8" w:rsidP="000A19E8">
      <w:pPr>
        <w:rPr>
          <w:bCs/>
        </w:rPr>
      </w:pPr>
    </w:p>
    <w:p w14:paraId="033CDAD1" w14:textId="6568C3BF" w:rsidR="000A19E8" w:rsidRPr="000A19E8" w:rsidRDefault="000A19E8" w:rsidP="000A19E8">
      <w:pPr>
        <w:rPr>
          <w:bCs/>
        </w:rPr>
      </w:pPr>
      <w:r w:rsidRPr="000A19E8">
        <w:rPr>
          <w:bCs/>
        </w:rPr>
        <w:t>Dear &lt;insert name&gt;,</w:t>
      </w:r>
    </w:p>
    <w:p w14:paraId="3800F03E" w14:textId="108F6AD1" w:rsidR="0022162F" w:rsidRPr="00DF1510" w:rsidRDefault="000A19E8" w:rsidP="000A19E8">
      <w:pPr>
        <w:pStyle w:val="Heading2"/>
      </w:pPr>
      <w:r>
        <w:t xml:space="preserve">How will you spend your Second 50? </w:t>
      </w:r>
    </w:p>
    <w:p w14:paraId="74E1C6A0" w14:textId="77777777" w:rsidR="000A19E8" w:rsidRPr="000A19E8" w:rsidRDefault="000A19E8" w:rsidP="000A19E8">
      <w:pPr>
        <w:spacing w:after="0"/>
        <w:textAlignment w:val="baseline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0A19E8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Aegon are exploring life after 50, or what they’re calling the ‘Second 50’. </w:t>
      </w:r>
    </w:p>
    <w:p w14:paraId="148DD00E" w14:textId="77777777" w:rsidR="000A19E8" w:rsidRPr="000A19E8" w:rsidRDefault="000A19E8" w:rsidP="000A19E8">
      <w:pPr>
        <w:spacing w:after="0"/>
        <w:textAlignment w:val="baseline"/>
        <w:rPr>
          <w:rFonts w:ascii="Arial" w:eastAsia="Times New Roman" w:hAnsi="Arial" w:cs="Arial"/>
          <w:b/>
          <w:bCs/>
          <w:color w:val="0069B4"/>
          <w:kern w:val="0"/>
          <w:lang w:val="en-GB" w:eastAsia="en-GB"/>
          <w14:ligatures w14:val="none"/>
        </w:rPr>
      </w:pPr>
    </w:p>
    <w:p w14:paraId="1F735A2B" w14:textId="77777777" w:rsidR="000A19E8" w:rsidRPr="000A19E8" w:rsidRDefault="000A19E8" w:rsidP="000A19E8">
      <w:pPr>
        <w:spacing w:after="0"/>
        <w:textAlignment w:val="baseline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0A19E8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Life after 50 isn’t what it used to be and the traditional three-stage life of education-work-retirement is fast moving to a ‘multi-stage’ life. Aegon’s latest report ‘The Second 50’ highlights that generation by generation on average, we’re living longer, which creates a changing landscape. </w:t>
      </w:r>
    </w:p>
    <w:p w14:paraId="49614D6F" w14:textId="77777777" w:rsidR="000A19E8" w:rsidRPr="000A19E8" w:rsidRDefault="000A19E8" w:rsidP="000A19E8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0A19E8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To help everyone better understand and navigate this, Aegon have carried out fresh research to create a comprehensive view of the latter half of a longer and more varied life. </w:t>
      </w:r>
    </w:p>
    <w:p w14:paraId="3DA5E474" w14:textId="77777777" w:rsidR="000A19E8" w:rsidRPr="000A19E8" w:rsidRDefault="000A19E8" w:rsidP="000A19E8">
      <w:pPr>
        <w:spacing w:after="0"/>
        <w:contextualSpacing/>
        <w:rPr>
          <w:rFonts w:ascii="Calibri" w:eastAsia="Cambria" w:hAnsi="Calibri" w:cs="Calibri"/>
          <w:color w:val="0000FF"/>
          <w:kern w:val="0"/>
          <w:sz w:val="24"/>
          <w:szCs w:val="24"/>
          <w:u w:val="single"/>
          <w:lang w:val="en-GB" w:eastAsia="en-GB"/>
          <w14:ligatures w14:val="none"/>
        </w:rPr>
      </w:pPr>
      <w:r w:rsidRPr="000A19E8">
        <w:rPr>
          <w:rFonts w:ascii="Arial" w:eastAsia="Cambria" w:hAnsi="Arial" w:cs="Arial"/>
          <w:color w:val="1D1D1D"/>
          <w:kern w:val="0"/>
          <w:lang w:val="en-GB" w:eastAsia="en-GB"/>
          <w14:ligatures w14:val="none"/>
        </w:rPr>
        <w:t>Take a look at how you can navigate a multi-stage life by reading the report</w:t>
      </w:r>
      <w:r w:rsidRPr="000A19E8">
        <w:rPr>
          <w:rFonts w:ascii="Calibri" w:eastAsia="Cambria" w:hAnsi="Calibri" w:cs="Calibri"/>
          <w:color w:val="1D1D1D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0A19E8">
        <w:rPr>
          <w:rFonts w:ascii="Arial" w:eastAsia="Cambria" w:hAnsi="Arial" w:cs="Arial"/>
          <w:color w:val="1D1D1D"/>
          <w:kern w:val="0"/>
          <w14:ligatures w14:val="none"/>
        </w:rPr>
        <w:fldChar w:fldCharType="begin"/>
      </w:r>
      <w:r w:rsidRPr="000A19E8">
        <w:rPr>
          <w:rFonts w:ascii="Arial" w:eastAsia="Cambria" w:hAnsi="Arial" w:cs="Arial"/>
          <w:color w:val="1D1D1D"/>
          <w:kern w:val="0"/>
          <w14:ligatures w14:val="none"/>
        </w:rPr>
        <w:instrText>HYPERLINK "https://www.aegon.co.uk/content/dam/auk/assets/publication/marketing-support/the-second-50-navigating-a-multi-stage-life-report.pdf"</w:instrText>
      </w:r>
      <w:r w:rsidRPr="000A19E8">
        <w:rPr>
          <w:rFonts w:ascii="Arial" w:eastAsia="Cambria" w:hAnsi="Arial" w:cs="Arial"/>
          <w:color w:val="1D1D1D"/>
          <w:kern w:val="0"/>
          <w14:ligatures w14:val="none"/>
        </w:rPr>
      </w:r>
      <w:r w:rsidRPr="000A19E8">
        <w:rPr>
          <w:rFonts w:ascii="Arial" w:eastAsia="Cambria" w:hAnsi="Arial" w:cs="Arial"/>
          <w:color w:val="1D1D1D"/>
          <w:kern w:val="0"/>
          <w14:ligatures w14:val="none"/>
        </w:rPr>
        <w:fldChar w:fldCharType="separate"/>
      </w:r>
      <w:r w:rsidRPr="000A19E8">
        <w:rPr>
          <w:rFonts w:ascii="Arial" w:eastAsia="Cambria" w:hAnsi="Arial" w:cs="Arial"/>
          <w:color w:val="0000FF"/>
          <w:kern w:val="0"/>
          <w:u w:val="single"/>
          <w14:ligatures w14:val="none"/>
        </w:rPr>
        <w:t>The Second 50: Navigating a multi-stage life</w:t>
      </w:r>
    </w:p>
    <w:p w14:paraId="203A0950" w14:textId="77777777" w:rsidR="000A19E8" w:rsidRPr="000A19E8" w:rsidRDefault="000A19E8" w:rsidP="000A19E8">
      <w:pPr>
        <w:spacing w:after="0"/>
        <w:textAlignment w:val="baseline"/>
        <w:rPr>
          <w:rFonts w:ascii="Calibri" w:eastAsia="Times New Roman" w:hAnsi="Calibri" w:cs="Calibri"/>
          <w:b/>
          <w:bCs/>
          <w:color w:val="0069B4"/>
          <w:kern w:val="0"/>
          <w:sz w:val="28"/>
          <w:szCs w:val="28"/>
          <w:lang w:val="en-GB" w:eastAsia="en-GB"/>
          <w14:ligatures w14:val="none"/>
        </w:rPr>
      </w:pPr>
      <w:r w:rsidRPr="000A19E8">
        <w:rPr>
          <w:rFonts w:ascii="Arial" w:eastAsia="Cambria" w:hAnsi="Arial" w:cs="Arial"/>
          <w:color w:val="1D1D1D"/>
          <w:kern w:val="0"/>
          <w14:ligatures w14:val="none"/>
        </w:rPr>
        <w:fldChar w:fldCharType="end"/>
      </w:r>
    </w:p>
    <w:p w14:paraId="6D840D5D" w14:textId="77777777" w:rsidR="000A19E8" w:rsidRPr="000A19E8" w:rsidRDefault="000A19E8" w:rsidP="000A19E8">
      <w:pPr>
        <w:spacing w:after="0" w:line="270" w:lineRule="atLeast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A19E8">
        <w:rPr>
          <w:rFonts w:ascii="Helvetica" w:eastAsia="Times New Roman" w:hAnsi="Helvetica" w:cs="Arial"/>
          <w:color w:val="666366"/>
          <w:kern w:val="0"/>
          <w:sz w:val="24"/>
          <w:szCs w:val="24"/>
          <w14:ligatures w14:val="none"/>
        </w:rPr>
        <w:br/>
      </w:r>
    </w:p>
    <w:p w14:paraId="705661CB" w14:textId="77777777" w:rsidR="00F63D56" w:rsidRPr="00DF1510" w:rsidRDefault="00F63D56" w:rsidP="00DF1510"/>
    <w:sectPr w:rsidR="00F63D56" w:rsidRPr="00DF1510" w:rsidSect="00B80A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56" w:right="851" w:bottom="1247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2A1C6" w14:textId="77777777" w:rsidR="008B5EF2" w:rsidRDefault="008B5EF2" w:rsidP="009E6F90">
      <w:pPr>
        <w:spacing w:after="0"/>
      </w:pPr>
      <w:r>
        <w:separator/>
      </w:r>
    </w:p>
  </w:endnote>
  <w:endnote w:type="continuationSeparator" w:id="0">
    <w:p w14:paraId="5E84DC3F" w14:textId="77777777" w:rsidR="008B5EF2" w:rsidRDefault="008B5EF2" w:rsidP="009E6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8636" w14:textId="77777777" w:rsidR="00A723FD" w:rsidRDefault="00A72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823D" w14:textId="77777777" w:rsidR="00AA4AF4" w:rsidRDefault="00AA4AF4" w:rsidP="00AA4AF4">
    <w:pPr>
      <w:pStyle w:val="Footer"/>
    </w:pPr>
  </w:p>
  <w:p w14:paraId="52DA3048" w14:textId="77777777" w:rsidR="00AA4AF4" w:rsidRDefault="00AA4AF4" w:rsidP="00AA4AF4">
    <w:pPr>
      <w:pStyle w:val="Footer"/>
    </w:pPr>
  </w:p>
  <w:p w14:paraId="177B16FF" w14:textId="77777777" w:rsidR="00AA4AF4" w:rsidRDefault="00AA4AF4" w:rsidP="00AA4AF4">
    <w:pPr>
      <w:pStyle w:val="Footer"/>
    </w:pPr>
  </w:p>
  <w:p w14:paraId="682DEA22" w14:textId="77777777" w:rsidR="00AA4AF4" w:rsidRPr="00A723FD" w:rsidRDefault="00AA4AF4" w:rsidP="00AA4AF4">
    <w:pPr>
      <w:pStyle w:val="Footer"/>
      <w:rPr>
        <w:b w:val="0"/>
        <w:bCs/>
      </w:rPr>
    </w:pPr>
    <w:r w:rsidRPr="00A723FD">
      <w:rPr>
        <w:b w:val="0"/>
        <w:bCs/>
      </w:rPr>
      <w:t>Aegon UK plc, registered office: Level 26, The Leadenhall Building, 122 Leadenhall Street, London, EC3V 4AB. Registered in England and Wales (No. 03679296). © 2024 Aegon UK plc</w:t>
    </w:r>
  </w:p>
  <w:p w14:paraId="069AC54B" w14:textId="1776D498" w:rsidR="008718CF" w:rsidRPr="00AA4AF4" w:rsidRDefault="008718CF" w:rsidP="00AA4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7F3B" w14:textId="1EC51C25" w:rsidR="009E6F90" w:rsidRDefault="008718CF" w:rsidP="002539B9">
    <w:pPr>
      <w:pStyle w:val="Footer"/>
      <w:tabs>
        <w:tab w:val="clear" w:pos="9360"/>
        <w:tab w:val="right" w:pos="1064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758D7" w14:textId="77777777" w:rsidR="008B5EF2" w:rsidRDefault="008B5EF2" w:rsidP="009E6F90">
      <w:pPr>
        <w:spacing w:after="0"/>
      </w:pPr>
      <w:r>
        <w:separator/>
      </w:r>
    </w:p>
  </w:footnote>
  <w:footnote w:type="continuationSeparator" w:id="0">
    <w:p w14:paraId="5C7E81F5" w14:textId="77777777" w:rsidR="008B5EF2" w:rsidRDefault="008B5EF2" w:rsidP="009E6F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AF1C" w14:textId="77777777" w:rsidR="00A723FD" w:rsidRDefault="00A72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DA41" w14:textId="77777777" w:rsidR="007051E7" w:rsidRPr="007051E7" w:rsidRDefault="007051E7" w:rsidP="007051E7"/>
  <w:p w14:paraId="19F9A03F" w14:textId="57AB81C8" w:rsidR="007051E7" w:rsidRPr="007051E7" w:rsidRDefault="007051E7" w:rsidP="00BC36D1">
    <w:pPr>
      <w:pStyle w:val="DocType"/>
      <w:tabs>
        <w:tab w:val="clear" w:pos="7480"/>
        <w:tab w:val="right" w:pos="10560"/>
      </w:tabs>
    </w:pPr>
    <w:r w:rsidRPr="007051E7">
      <w:rPr>
        <w:noProof/>
      </w:rPr>
      <w:drawing>
        <wp:anchor distT="0" distB="0" distL="0" distR="360045" simplePos="0" relativeHeight="251661312" behindDoc="1" locked="1" layoutInCell="1" allowOverlap="0" wp14:anchorId="18853FF2" wp14:editId="7ADC839D">
          <wp:simplePos x="0" y="0"/>
          <wp:positionH relativeFrom="page">
            <wp:posOffset>0</wp:posOffset>
          </wp:positionH>
          <wp:positionV relativeFrom="page">
            <wp:posOffset>-17780</wp:posOffset>
          </wp:positionV>
          <wp:extent cx="2289600" cy="1206000"/>
          <wp:effectExtent l="0" t="0" r="0" b="0"/>
          <wp:wrapTight wrapText="bothSides">
            <wp:wrapPolygon edited="0">
              <wp:start x="5752" y="6483"/>
              <wp:lineTo x="3775" y="8190"/>
              <wp:lineTo x="3415" y="9213"/>
              <wp:lineTo x="4314" y="14673"/>
              <wp:lineTo x="5572" y="14673"/>
              <wp:lineTo x="12583" y="13991"/>
              <wp:lineTo x="14560" y="13649"/>
              <wp:lineTo x="18155" y="12626"/>
              <wp:lineTo x="17795" y="8531"/>
              <wp:lineTo x="6831" y="6483"/>
              <wp:lineTo x="5752" y="6483"/>
            </wp:wrapPolygon>
          </wp:wrapTight>
          <wp:docPr id="98361884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18848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1E7">
      <w:tab/>
    </w:r>
  </w:p>
  <w:p w14:paraId="481A7F91" w14:textId="6F17EAD5" w:rsidR="009E6F90" w:rsidRPr="007051E7" w:rsidRDefault="009E6F90" w:rsidP="00705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DE44" w14:textId="77777777" w:rsidR="00015C31" w:rsidRPr="007051E7" w:rsidRDefault="00015C31" w:rsidP="00015C31"/>
  <w:p w14:paraId="2E4C921F" w14:textId="0F51FAD9" w:rsidR="00015C31" w:rsidRPr="007051E7" w:rsidRDefault="00015C31" w:rsidP="00015C31">
    <w:pPr>
      <w:pStyle w:val="DocType"/>
      <w:tabs>
        <w:tab w:val="clear" w:pos="7480"/>
        <w:tab w:val="right" w:pos="10560"/>
      </w:tabs>
    </w:pPr>
    <w:r w:rsidRPr="007051E7">
      <w:rPr>
        <w:noProof/>
      </w:rPr>
      <w:drawing>
        <wp:anchor distT="0" distB="0" distL="0" distR="360045" simplePos="0" relativeHeight="251663360" behindDoc="1" locked="1" layoutInCell="1" allowOverlap="0" wp14:anchorId="596AD966" wp14:editId="3C913C4E">
          <wp:simplePos x="0" y="0"/>
          <wp:positionH relativeFrom="page">
            <wp:posOffset>0</wp:posOffset>
          </wp:positionH>
          <wp:positionV relativeFrom="page">
            <wp:posOffset>-17780</wp:posOffset>
          </wp:positionV>
          <wp:extent cx="2286256" cy="1206000"/>
          <wp:effectExtent l="0" t="0" r="0" b="0"/>
          <wp:wrapTight wrapText="bothSides">
            <wp:wrapPolygon edited="0">
              <wp:start x="5760" y="6483"/>
              <wp:lineTo x="3780" y="8190"/>
              <wp:lineTo x="3420" y="9213"/>
              <wp:lineTo x="4320" y="14673"/>
              <wp:lineTo x="5580" y="14673"/>
              <wp:lineTo x="12600" y="13991"/>
              <wp:lineTo x="14580" y="13649"/>
              <wp:lineTo x="18180" y="12626"/>
              <wp:lineTo x="17820" y="8531"/>
              <wp:lineTo x="6840" y="6483"/>
              <wp:lineTo x="5760" y="6483"/>
            </wp:wrapPolygon>
          </wp:wrapTight>
          <wp:docPr id="6873648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90856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256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1E7">
      <w:tab/>
    </w:r>
  </w:p>
  <w:p w14:paraId="4A8E8AAD" w14:textId="77777777" w:rsidR="00015C31" w:rsidRPr="007051E7" w:rsidRDefault="00015C31" w:rsidP="00015C31">
    <w:pPr>
      <w:pStyle w:val="Header"/>
    </w:pPr>
  </w:p>
  <w:p w14:paraId="16141B33" w14:textId="3B67D011" w:rsidR="00F34604" w:rsidRPr="00015C31" w:rsidRDefault="00F34604" w:rsidP="00015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4BE"/>
    <w:multiLevelType w:val="multilevel"/>
    <w:tmpl w:val="9FA0461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1" w15:restartNumberingAfterBreak="0">
    <w:nsid w:val="0B673139"/>
    <w:multiLevelType w:val="multilevel"/>
    <w:tmpl w:val="34005632"/>
    <w:lvl w:ilvl="0">
      <w:start w:val="1"/>
      <w:numFmt w:val="bullet"/>
      <w:pStyle w:val="ABullets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1F47104B"/>
    <w:multiLevelType w:val="multilevel"/>
    <w:tmpl w:val="2E361BB2"/>
    <w:numStyleLink w:val="AHeadings"/>
  </w:abstractNum>
  <w:abstractNum w:abstractNumId="3" w15:restartNumberingAfterBreak="0">
    <w:nsid w:val="2158684B"/>
    <w:multiLevelType w:val="multilevel"/>
    <w:tmpl w:val="2E361BB2"/>
    <w:styleLink w:val="AHeadings"/>
    <w:lvl w:ilvl="0">
      <w:start w:val="1"/>
      <w:numFmt w:val="decimal"/>
      <w:pStyle w:val="A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Heading2"/>
      <w:lvlText w:val="%1.%2."/>
      <w:lvlJc w:val="left"/>
      <w:pPr>
        <w:ind w:left="1135" w:hanging="851"/>
      </w:pPr>
      <w:rPr>
        <w:rFonts w:hint="default"/>
      </w:rPr>
    </w:lvl>
    <w:lvl w:ilvl="2">
      <w:start w:val="1"/>
      <w:numFmt w:val="decimal"/>
      <w:pStyle w:val="A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8AE6230"/>
    <w:multiLevelType w:val="multilevel"/>
    <w:tmpl w:val="C276B126"/>
    <w:styleLink w:val="AAlphabetList"/>
    <w:lvl w:ilvl="0">
      <w:start w:val="1"/>
      <w:numFmt w:val="lowerLetter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5" w15:restartNumberingAfterBreak="0">
    <w:nsid w:val="3294147F"/>
    <w:multiLevelType w:val="multilevel"/>
    <w:tmpl w:val="45C04B76"/>
    <w:styleLink w:val="AAttachmentHeadings"/>
    <w:lvl w:ilvl="0">
      <w:start w:val="1"/>
      <w:numFmt w:val="upperLetter"/>
      <w:pStyle w:val="AAttachmentHeading1"/>
      <w:lvlText w:val="Appendix %1: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AAttachmentHeading2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AttachmentHeading3"/>
      <w:lvlText w:val="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53A2BAD"/>
    <w:multiLevelType w:val="multilevel"/>
    <w:tmpl w:val="8794DEFC"/>
    <w:styleLink w:val="ANumberedList"/>
    <w:lvl w:ilvl="0">
      <w:start w:val="1"/>
      <w:numFmt w:val="decimal"/>
      <w:pStyle w:val="ANumbered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7" w15:restartNumberingAfterBreak="0">
    <w:nsid w:val="398C6A88"/>
    <w:multiLevelType w:val="multilevel"/>
    <w:tmpl w:val="0E4CE920"/>
    <w:numStyleLink w:val="AListBulletsTemplate"/>
  </w:abstractNum>
  <w:abstractNum w:abstractNumId="8" w15:restartNumberingAfterBreak="0">
    <w:nsid w:val="49DF46F7"/>
    <w:multiLevelType w:val="multilevel"/>
    <w:tmpl w:val="0E4CE920"/>
    <w:styleLink w:val="AListBulletsTemplate"/>
    <w:lvl w:ilvl="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5A1F19D2"/>
    <w:multiLevelType w:val="multilevel"/>
    <w:tmpl w:val="825A3314"/>
    <w:lvl w:ilvl="0">
      <w:start w:val="1"/>
      <w:numFmt w:val="lowerLetter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" w:hanging="369"/>
      </w:pPr>
      <w:rPr>
        <w:rFonts w:hint="default"/>
      </w:rPr>
    </w:lvl>
  </w:abstractNum>
  <w:abstractNum w:abstractNumId="10" w15:restartNumberingAfterBreak="0">
    <w:nsid w:val="62E549EB"/>
    <w:multiLevelType w:val="multilevel"/>
    <w:tmpl w:val="C276B126"/>
    <w:numStyleLink w:val="AAlphabetList"/>
  </w:abstractNum>
  <w:abstractNum w:abstractNumId="11" w15:restartNumberingAfterBreak="0">
    <w:nsid w:val="7B5B2C3D"/>
    <w:multiLevelType w:val="multilevel"/>
    <w:tmpl w:val="8794DEFC"/>
    <w:numStyleLink w:val="ANumberedList"/>
  </w:abstractNum>
  <w:num w:numId="1" w16cid:durableId="1879270031">
    <w:abstractNumId w:val="3"/>
  </w:num>
  <w:num w:numId="2" w16cid:durableId="12921650">
    <w:abstractNumId w:val="5"/>
  </w:num>
  <w:num w:numId="3" w16cid:durableId="1588685758">
    <w:abstractNumId w:val="2"/>
  </w:num>
  <w:num w:numId="4" w16cid:durableId="1475679265">
    <w:abstractNumId w:val="8"/>
  </w:num>
  <w:num w:numId="5" w16cid:durableId="240065418">
    <w:abstractNumId w:val="9"/>
  </w:num>
  <w:num w:numId="6" w16cid:durableId="1179076006">
    <w:abstractNumId w:val="4"/>
  </w:num>
  <w:num w:numId="7" w16cid:durableId="1049110428">
    <w:abstractNumId w:val="7"/>
  </w:num>
  <w:num w:numId="8" w16cid:durableId="879978521">
    <w:abstractNumId w:val="10"/>
  </w:num>
  <w:num w:numId="9" w16cid:durableId="666977549">
    <w:abstractNumId w:val="0"/>
  </w:num>
  <w:num w:numId="10" w16cid:durableId="1074397979">
    <w:abstractNumId w:val="6"/>
  </w:num>
  <w:num w:numId="11" w16cid:durableId="1360856717">
    <w:abstractNumId w:val="11"/>
  </w:num>
  <w:num w:numId="12" w16cid:durableId="168736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0"/>
    <w:rsid w:val="00015C31"/>
    <w:rsid w:val="00024AC0"/>
    <w:rsid w:val="000269E9"/>
    <w:rsid w:val="000A19E8"/>
    <w:rsid w:val="00127803"/>
    <w:rsid w:val="0022162F"/>
    <w:rsid w:val="00224106"/>
    <w:rsid w:val="002539B9"/>
    <w:rsid w:val="00273FC8"/>
    <w:rsid w:val="002E4F5D"/>
    <w:rsid w:val="002E5375"/>
    <w:rsid w:val="002F3260"/>
    <w:rsid w:val="003061AF"/>
    <w:rsid w:val="0032070B"/>
    <w:rsid w:val="00352CE3"/>
    <w:rsid w:val="00392DC2"/>
    <w:rsid w:val="003C1921"/>
    <w:rsid w:val="00497327"/>
    <w:rsid w:val="00657C17"/>
    <w:rsid w:val="006B63EC"/>
    <w:rsid w:val="006E4790"/>
    <w:rsid w:val="007051E7"/>
    <w:rsid w:val="0075059D"/>
    <w:rsid w:val="00753638"/>
    <w:rsid w:val="00785508"/>
    <w:rsid w:val="008126CD"/>
    <w:rsid w:val="008718CF"/>
    <w:rsid w:val="008B27E6"/>
    <w:rsid w:val="008B4F9C"/>
    <w:rsid w:val="008B5EF2"/>
    <w:rsid w:val="009C5FE9"/>
    <w:rsid w:val="009E6F90"/>
    <w:rsid w:val="00A33AA5"/>
    <w:rsid w:val="00A723FD"/>
    <w:rsid w:val="00AA4AF4"/>
    <w:rsid w:val="00B348E2"/>
    <w:rsid w:val="00B80A53"/>
    <w:rsid w:val="00B927E8"/>
    <w:rsid w:val="00BC1AF3"/>
    <w:rsid w:val="00BC36D1"/>
    <w:rsid w:val="00C01221"/>
    <w:rsid w:val="00C55A26"/>
    <w:rsid w:val="00CD0FC0"/>
    <w:rsid w:val="00D02F90"/>
    <w:rsid w:val="00DF1510"/>
    <w:rsid w:val="00F34604"/>
    <w:rsid w:val="00F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586E5"/>
  <w15:chartTrackingRefBased/>
  <w15:docId w15:val="{F0AED099-A5D2-405D-80FD-9C387636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348E2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221"/>
    <w:pPr>
      <w:keepNext/>
      <w:keepLines/>
      <w:spacing w:after="25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3AA5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E6F90"/>
    <w:pPr>
      <w:keepNext/>
      <w:keepLines/>
      <w:spacing w:line="276" w:lineRule="auto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E6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D660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E6F90"/>
    <w:pPr>
      <w:keepNext/>
      <w:keepLines/>
      <w:spacing w:before="80" w:after="40"/>
      <w:outlineLvl w:val="4"/>
    </w:pPr>
    <w:rPr>
      <w:rFonts w:eastAsiaTheme="majorEastAsia" w:cstheme="majorBidi"/>
      <w:color w:val="1D660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E6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E6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E6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E6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21"/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4AC0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AC0"/>
    <w:rPr>
      <w:rFonts w:eastAsiaTheme="majorEastAsia" w:cstheme="majorBidi"/>
      <w:b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AC0"/>
    <w:rPr>
      <w:rFonts w:eastAsiaTheme="majorEastAsia" w:cstheme="majorBidi"/>
      <w:i/>
      <w:iCs/>
      <w:color w:val="1D660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AC0"/>
    <w:rPr>
      <w:rFonts w:eastAsiaTheme="majorEastAsia" w:cstheme="majorBidi"/>
      <w:color w:val="1D660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E6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E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E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4AC0"/>
    <w:rPr>
      <w:i/>
      <w:iCs/>
      <w:color w:val="404040" w:themeColor="text1" w:themeTint="BF"/>
    </w:rPr>
  </w:style>
  <w:style w:type="paragraph" w:styleId="ListParagraph">
    <w:name w:val="List Paragraph"/>
    <w:basedOn w:val="ABullets"/>
    <w:uiPriority w:val="34"/>
    <w:unhideWhenUsed/>
    <w:qFormat/>
    <w:rsid w:val="0022162F"/>
  </w:style>
  <w:style w:type="character" w:styleId="IntenseEmphasis">
    <w:name w:val="Intense Emphasis"/>
    <w:basedOn w:val="DefaultParagraphFont"/>
    <w:uiPriority w:val="21"/>
    <w:semiHidden/>
    <w:qFormat/>
    <w:rsid w:val="009E6F90"/>
    <w:rPr>
      <w:i/>
      <w:iCs/>
      <w:color w:val="1D660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E6F90"/>
    <w:pPr>
      <w:pBdr>
        <w:top w:val="single" w:sz="4" w:space="10" w:color="1D6603" w:themeColor="accent1" w:themeShade="BF"/>
        <w:bottom w:val="single" w:sz="4" w:space="10" w:color="1D6603" w:themeColor="accent1" w:themeShade="BF"/>
      </w:pBdr>
      <w:spacing w:before="360" w:after="360"/>
      <w:ind w:left="864" w:right="864"/>
      <w:jc w:val="center"/>
    </w:pPr>
    <w:rPr>
      <w:i/>
      <w:iCs/>
      <w:color w:val="1D660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4AC0"/>
    <w:rPr>
      <w:i/>
      <w:iCs/>
      <w:color w:val="1D660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9E6F90"/>
    <w:rPr>
      <w:b/>
      <w:bCs/>
      <w:smallCaps/>
      <w:color w:val="1D660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9E6F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AC0"/>
  </w:style>
  <w:style w:type="paragraph" w:styleId="Footer">
    <w:name w:val="footer"/>
    <w:basedOn w:val="Normal"/>
    <w:link w:val="FooterChar"/>
    <w:uiPriority w:val="99"/>
    <w:unhideWhenUsed/>
    <w:rsid w:val="00AA4AF4"/>
    <w:pPr>
      <w:tabs>
        <w:tab w:val="center" w:pos="4680"/>
        <w:tab w:val="right" w:pos="9360"/>
      </w:tabs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4AF4"/>
    <w:rPr>
      <w:b/>
      <w:sz w:val="16"/>
    </w:rPr>
  </w:style>
  <w:style w:type="paragraph" w:customStyle="1" w:styleId="AHeading1">
    <w:name w:val="A_Heading_1"/>
    <w:basedOn w:val="Heading1"/>
    <w:next w:val="Normal"/>
    <w:semiHidden/>
    <w:qFormat/>
    <w:rsid w:val="00352CE3"/>
    <w:pPr>
      <w:numPr>
        <w:numId w:val="3"/>
      </w:numPr>
    </w:pPr>
  </w:style>
  <w:style w:type="paragraph" w:customStyle="1" w:styleId="AHeading2">
    <w:name w:val="A_Heading_2"/>
    <w:basedOn w:val="Heading2"/>
    <w:next w:val="Normal"/>
    <w:semiHidden/>
    <w:qFormat/>
    <w:rsid w:val="00352CE3"/>
    <w:pPr>
      <w:numPr>
        <w:ilvl w:val="1"/>
        <w:numId w:val="3"/>
      </w:numPr>
      <w:ind w:left="851"/>
    </w:pPr>
  </w:style>
  <w:style w:type="paragraph" w:customStyle="1" w:styleId="AHeading3">
    <w:name w:val="A_Heading_3"/>
    <w:basedOn w:val="Heading3"/>
    <w:next w:val="Normal"/>
    <w:semiHidden/>
    <w:qFormat/>
    <w:rsid w:val="00352CE3"/>
    <w:pPr>
      <w:numPr>
        <w:ilvl w:val="2"/>
        <w:numId w:val="3"/>
      </w:numPr>
    </w:pPr>
  </w:style>
  <w:style w:type="numbering" w:customStyle="1" w:styleId="AHeadings">
    <w:name w:val="A_Headings"/>
    <w:uiPriority w:val="99"/>
    <w:rsid w:val="00352CE3"/>
    <w:pPr>
      <w:numPr>
        <w:numId w:val="1"/>
      </w:numPr>
    </w:pPr>
  </w:style>
  <w:style w:type="paragraph" w:customStyle="1" w:styleId="AAttachmentHeading1">
    <w:name w:val="A_Attachment_Heading_1"/>
    <w:basedOn w:val="Heading1"/>
    <w:next w:val="Normal"/>
    <w:semiHidden/>
    <w:qFormat/>
    <w:rsid w:val="00352CE3"/>
    <w:pPr>
      <w:numPr>
        <w:numId w:val="2"/>
      </w:numPr>
    </w:pPr>
  </w:style>
  <w:style w:type="paragraph" w:customStyle="1" w:styleId="AAttachmentHeading2">
    <w:name w:val="A_Attachment_Heading_2"/>
    <w:basedOn w:val="Heading2"/>
    <w:next w:val="Normal"/>
    <w:semiHidden/>
    <w:qFormat/>
    <w:rsid w:val="00352CE3"/>
    <w:pPr>
      <w:numPr>
        <w:ilvl w:val="1"/>
        <w:numId w:val="2"/>
      </w:numPr>
    </w:pPr>
  </w:style>
  <w:style w:type="paragraph" w:customStyle="1" w:styleId="AAttachmentHeading3">
    <w:name w:val="A_Attachment_Heading_3"/>
    <w:basedOn w:val="Heading3"/>
    <w:next w:val="Normal"/>
    <w:semiHidden/>
    <w:qFormat/>
    <w:rsid w:val="00352CE3"/>
    <w:pPr>
      <w:numPr>
        <w:ilvl w:val="2"/>
        <w:numId w:val="2"/>
      </w:numPr>
    </w:pPr>
  </w:style>
  <w:style w:type="numbering" w:customStyle="1" w:styleId="AAttachmentHeadings">
    <w:name w:val="A_Attachment_Headings"/>
    <w:uiPriority w:val="99"/>
    <w:rsid w:val="00352CE3"/>
    <w:pPr>
      <w:numPr>
        <w:numId w:val="2"/>
      </w:numPr>
    </w:pPr>
  </w:style>
  <w:style w:type="character" w:customStyle="1" w:styleId="AAccent">
    <w:name w:val="A_Accent"/>
    <w:uiPriority w:val="1"/>
    <w:semiHidden/>
    <w:qFormat/>
    <w:rsid w:val="00224106"/>
    <w:rPr>
      <w:b/>
    </w:rPr>
  </w:style>
  <w:style w:type="paragraph" w:customStyle="1" w:styleId="Address">
    <w:name w:val="Address"/>
    <w:basedOn w:val="Normal"/>
    <w:next w:val="Normal"/>
    <w:semiHidden/>
    <w:qFormat/>
    <w:rsid w:val="00224106"/>
    <w:pPr>
      <w:framePr w:w="5387" w:h="2381" w:hRule="exact" w:hSpace="142" w:vSpace="142" w:wrap="notBeside" w:vAnchor="page" w:hAnchor="page" w:x="1787" w:y="3233" w:anchorLock="1"/>
    </w:pPr>
  </w:style>
  <w:style w:type="numbering" w:customStyle="1" w:styleId="AListBulletsTemplate">
    <w:name w:val="A_ListBullets_Template"/>
    <w:basedOn w:val="NoList"/>
    <w:rsid w:val="006E4790"/>
    <w:pPr>
      <w:numPr>
        <w:numId w:val="4"/>
      </w:numPr>
    </w:pPr>
  </w:style>
  <w:style w:type="paragraph" w:customStyle="1" w:styleId="ANumbered">
    <w:name w:val="A_Numbered"/>
    <w:basedOn w:val="ListParagraph"/>
    <w:unhideWhenUsed/>
    <w:qFormat/>
    <w:rsid w:val="0075059D"/>
    <w:pPr>
      <w:numPr>
        <w:numId w:val="11"/>
      </w:numPr>
      <w:suppressAutoHyphens/>
      <w:spacing w:line="276" w:lineRule="auto"/>
    </w:pPr>
    <w:rPr>
      <w:kern w:val="0"/>
      <w:sz w:val="20"/>
      <w:szCs w:val="18"/>
      <w14:ligatures w14:val="none"/>
    </w:rPr>
  </w:style>
  <w:style w:type="numbering" w:customStyle="1" w:styleId="AAlphabetList">
    <w:name w:val="A_AlphabetList"/>
    <w:uiPriority w:val="99"/>
    <w:rsid w:val="006E4790"/>
    <w:pPr>
      <w:numPr>
        <w:numId w:val="6"/>
      </w:numPr>
    </w:pPr>
  </w:style>
  <w:style w:type="numbering" w:customStyle="1" w:styleId="ANumberedList">
    <w:name w:val="A_NumberedList"/>
    <w:uiPriority w:val="99"/>
    <w:rsid w:val="0075059D"/>
    <w:pPr>
      <w:numPr>
        <w:numId w:val="10"/>
      </w:numPr>
    </w:pPr>
  </w:style>
  <w:style w:type="paragraph" w:customStyle="1" w:styleId="ABullets">
    <w:name w:val="A_Bullets"/>
    <w:basedOn w:val="Normal"/>
    <w:qFormat/>
    <w:rsid w:val="0022162F"/>
    <w:pPr>
      <w:numPr>
        <w:numId w:val="12"/>
      </w:numPr>
    </w:pPr>
  </w:style>
  <w:style w:type="paragraph" w:customStyle="1" w:styleId="DocType">
    <w:name w:val="DocType"/>
    <w:basedOn w:val="Header"/>
    <w:unhideWhenUsed/>
    <w:qFormat/>
    <w:rsid w:val="007051E7"/>
    <w:pPr>
      <w:tabs>
        <w:tab w:val="clear" w:pos="4680"/>
        <w:tab w:val="clear" w:pos="9360"/>
        <w:tab w:val="left" w:pos="7480"/>
      </w:tabs>
    </w:pPr>
    <w:rPr>
      <w:sz w:val="40"/>
    </w:rPr>
  </w:style>
  <w:style w:type="character" w:styleId="PlaceholderText">
    <w:name w:val="Placeholder Text"/>
    <w:basedOn w:val="DefaultParagraphFont"/>
    <w:uiPriority w:val="99"/>
    <w:semiHidden/>
    <w:rsid w:val="000269E9"/>
    <w:rPr>
      <w:color w:val="666666"/>
    </w:rPr>
  </w:style>
  <w:style w:type="paragraph" w:customStyle="1" w:styleId="AIntro">
    <w:name w:val="A_Intro"/>
    <w:basedOn w:val="Normal"/>
    <w:next w:val="Normal"/>
    <w:qFormat/>
    <w:rsid w:val="000269E9"/>
    <w:pPr>
      <w:spacing w:before="100" w:beforeAutospacing="1" w:after="100" w:afterAutospacing="1"/>
    </w:pPr>
    <w:rPr>
      <w:b/>
    </w:rPr>
  </w:style>
  <w:style w:type="table" w:customStyle="1" w:styleId="ATable">
    <w:name w:val="A_Table"/>
    <w:basedOn w:val="TableNormal"/>
    <w:uiPriority w:val="99"/>
    <w:rsid w:val="00AA4AF4"/>
    <w:pPr>
      <w:spacing w:after="0" w:line="240" w:lineRule="auto"/>
    </w:pPr>
    <w:rPr>
      <w:kern w:val="0"/>
      <w:sz w:val="20"/>
      <w14:ligatures w14:val="none"/>
    </w:rPr>
    <w:tblPr>
      <w:tblStyleRowBandSize w:val="1"/>
      <w:tblBorders>
        <w:top w:val="single" w:sz="4" w:space="0" w:color="6F6B66"/>
        <w:bottom w:val="single" w:sz="4" w:space="0" w:color="6F6B6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6F6B66"/>
          <w:bottom w:val="single" w:sz="4" w:space="0" w:color="6F6B66"/>
        </w:tcBorders>
      </w:tcPr>
    </w:tblStylePr>
    <w:tblStylePr w:type="lastRow">
      <w:rPr>
        <w:b/>
      </w:rPr>
      <w:tblPr/>
      <w:tcPr>
        <w:tcBorders>
          <w:top w:val="nil"/>
          <w:bottom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5E4E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thepensionsregulator.gov.uk/-/media/thepensionsregulator/files/import/pdf/tpr-fca-employers-trustees-financial-matters-gu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egon 2024">
  <a:themeElements>
    <a:clrScheme name="Aegon 2024">
      <a:dk1>
        <a:srgbClr val="000000"/>
      </a:dk1>
      <a:lt1>
        <a:srgbClr val="FFFFFF"/>
      </a:lt1>
      <a:dk2>
        <a:srgbClr val="1D2550"/>
      </a:dk2>
      <a:lt2>
        <a:srgbClr val="E5E4E0"/>
      </a:lt2>
      <a:accent1>
        <a:srgbClr val="278904"/>
      </a:accent1>
      <a:accent2>
        <a:srgbClr val="CC1AD4"/>
      </a:accent2>
      <a:accent3>
        <a:srgbClr val="187AC9"/>
      </a:accent3>
      <a:accent4>
        <a:srgbClr val="38179E"/>
      </a:accent4>
      <a:accent5>
        <a:srgbClr val="BA1C21"/>
      </a:accent5>
      <a:accent6>
        <a:srgbClr val="6F6B66"/>
      </a:accent6>
      <a:hlink>
        <a:srgbClr val="641EE0"/>
      </a:hlink>
      <a:folHlink>
        <a:srgbClr val="81368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>
          <a:solidFill>
            <a:schemeClr val="tx1"/>
          </a:solidFill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28180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50800" tIns="50800" rIns="50800" bIns="50800" rtlCol="0">
        <a:noAutofit/>
      </a:bodyPr>
      <a:lstStyle>
        <a:defPPr algn="l">
          <a:defRPr kern="100" spc="-30" smtClean="0"/>
        </a:defPPr>
      </a:lstStyle>
    </a:txDef>
  </a:objectDefaults>
  <a:extraClrSchemeLst/>
  <a:custClrLst>
    <a:custClr name="White">
      <a:srgbClr val="FFFFFF"/>
    </a:custClr>
    <a:custClr name="Fresh Lime">
      <a:srgbClr val="E7FF00"/>
    </a:custClr>
    <a:custClr name="Grass Green">
      <a:srgbClr val="4CD300"/>
    </a:custClr>
    <a:custClr name="Hot Pink">
      <a:srgbClr val="FA69FF"/>
    </a:custClr>
    <a:custClr name="Sky Blue">
      <a:srgbClr val="63B6FF"/>
    </a:custClr>
    <a:custClr name="Lavender Purple">
      <a:srgbClr val="641EE0"/>
    </a:custClr>
    <a:custClr name="Crimson Red">
      <a:srgbClr val="CF0000"/>
    </a:custClr>
    <a:custClr name="Chocolate Brown">
      <a:srgbClr val="5E3930"/>
    </a:custClr>
    <a:custClr name="Forest Green">
      <a:srgbClr val="0B3F2D"/>
    </a:custClr>
    <a:custClr name="Night Blue">
      <a:srgbClr val="1D2550"/>
    </a:custClr>
    <a:custClr name="Dark Grass Green">
      <a:srgbClr val="278904"/>
    </a:custClr>
    <a:custClr name="80%">
      <a:srgbClr val="52A136"/>
    </a:custClr>
    <a:custClr name="60%">
      <a:srgbClr val="7DB868"/>
    </a:custClr>
    <a:custClr name="40%">
      <a:srgbClr val="A9D09B"/>
    </a:custClr>
    <a:custClr name="20%">
      <a:srgbClr val="D4E7CD"/>
    </a:custClr>
    <a:custClr name="Dark Hot Pink">
      <a:srgbClr val="CC1AD4"/>
    </a:custClr>
    <a:custClr name="80%">
      <a:srgbClr val="D648DD"/>
    </a:custClr>
    <a:custClr name="60%">
      <a:srgbClr val="E076E5"/>
    </a:custClr>
    <a:custClr name="40%">
      <a:srgbClr val="EBA3EE"/>
    </a:custClr>
    <a:custClr name="20%">
      <a:srgbClr val="F5D1F6"/>
    </a:custClr>
    <a:custClr name="Dark Sky Blue">
      <a:srgbClr val="187AC9"/>
    </a:custClr>
    <a:custClr name="80%">
      <a:srgbClr val="4695D4"/>
    </a:custClr>
    <a:custClr name="60%">
      <a:srgbClr val="74AFDF"/>
    </a:custClr>
    <a:custClr name="40%">
      <a:srgbClr val="A3CAE9"/>
    </a:custClr>
    <a:custClr name="20%">
      <a:srgbClr val="D1E4F4"/>
    </a:custClr>
    <a:custClr name="Dark Lavender Purple">
      <a:srgbClr val="38179E"/>
    </a:custClr>
    <a:custClr name="80%">
      <a:srgbClr val="6045B1"/>
    </a:custClr>
    <a:custClr name="60%">
      <a:srgbClr val="8874C5"/>
    </a:custClr>
    <a:custClr name="40%">
      <a:srgbClr val="AFA2D8"/>
    </a:custClr>
    <a:custClr name="20%">
      <a:srgbClr val="D7D1EC"/>
    </a:custClr>
    <a:custClr name="Dark Crimson Red">
      <a:srgbClr val="BA1C21"/>
    </a:custClr>
    <a:custClr name="80%">
      <a:srgbClr val="C8494D"/>
    </a:custClr>
    <a:custClr name="60%">
      <a:srgbClr val="D6777A"/>
    </a:custClr>
    <a:custClr name="40%">
      <a:srgbClr val="E3A4A6"/>
    </a:custClr>
    <a:custClr name="20%">
      <a:srgbClr val="F1D2D3"/>
    </a:custClr>
    <a:custClr name="Warm Grey">
      <a:srgbClr val="6F6B66"/>
    </a:custClr>
    <a:custClr name="80%">
      <a:srgbClr val="959185"/>
    </a:custClr>
    <a:custClr name="60%">
      <a:srgbClr val="B0ADA3"/>
    </a:custClr>
    <a:custClr name="40%">
      <a:srgbClr val="CAC8C2"/>
    </a:custClr>
    <a:custClr name="20%">
      <a:srgbClr val="E5E4E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960e48e-6218-48c3-8de8-6112787a01af">
      <Terms xmlns="http://schemas.microsoft.com/office/infopath/2007/PartnerControls"/>
    </lcf76f155ced4ddcb4097134ff3c332f>
    <TaxCatchAll xmlns="bfe6e0b6-a5a6-435d-956e-8490d4b03c3e" xsi:nil="true"/>
    <_Flow_SignoffStatus xmlns="8960e48e-6218-48c3-8de8-6112787a01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992746470714CAD9CE5DF3CB9B854" ma:contentTypeVersion="21" ma:contentTypeDescription="Create a new document." ma:contentTypeScope="" ma:versionID="2c084b4f928d3a857f42c6eb17ae922e">
  <xsd:schema xmlns:xsd="http://www.w3.org/2001/XMLSchema" xmlns:xs="http://www.w3.org/2001/XMLSchema" xmlns:p="http://schemas.microsoft.com/office/2006/metadata/properties" xmlns:ns1="http://schemas.microsoft.com/sharepoint/v3" xmlns:ns2="8960e48e-6218-48c3-8de8-6112787a01af" xmlns:ns3="8be50da4-64b4-453a-8fd0-0bab19044a5d" xmlns:ns4="bfe6e0b6-a5a6-435d-956e-8490d4b03c3e" targetNamespace="http://schemas.microsoft.com/office/2006/metadata/properties" ma:root="true" ma:fieldsID="3decdcacbe80857aff05d42d71abd39c" ns1:_="" ns2:_="" ns3:_="" ns4:_="">
    <xsd:import namespace="http://schemas.microsoft.com/sharepoint/v3"/>
    <xsd:import namespace="8960e48e-6218-48c3-8de8-6112787a01af"/>
    <xsd:import namespace="8be50da4-64b4-453a-8fd0-0bab19044a5d"/>
    <xsd:import namespace="bfe6e0b6-a5a6-435d-956e-8490d4b03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e48e-6218-48c3-8de8-6112787a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3ecf46e-890a-4d8f-8227-d99d79ddb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0da4-64b4-453a-8fd0-0bab19044a5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e0b6-a5a6-435d-956e-8490d4b03c3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dc8cf4-9745-4532-a3a2-c75d73d3108a}" ma:internalName="TaxCatchAll" ma:showField="CatchAllData" ma:web="8be50da4-64b4-453a-8fd0-0bab19044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38994-9368-4ADE-9186-ABE1A93F3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CA5A3E-2F4B-4C46-B4CC-84ED323DD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E2AF0-D4B5-44A2-9391-C38A0967B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 Multimedia</dc:creator>
  <cp:keywords/>
  <dc:description/>
  <cp:lastModifiedBy>Gordon, Sarah</cp:lastModifiedBy>
  <cp:revision>2</cp:revision>
  <dcterms:created xsi:type="dcterms:W3CDTF">2024-10-16T15:37:00Z</dcterms:created>
  <dcterms:modified xsi:type="dcterms:W3CDTF">2024-10-16T15:37:00Z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0x0101004B1992746470714CAD9CE5DF3CB9B854</vt:lpwstr>
  </property>
</Properties>
</file>